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E" w:rsidRPr="0010631C" w:rsidRDefault="004F68FE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6D63B7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 марта </w:t>
      </w:r>
      <w:r w:rsidR="004F68FE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57</w:t>
      </w:r>
    </w:p>
    <w:p w:rsidR="00840B70" w:rsidRDefault="00840B70" w:rsidP="00840B70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О внесении изменений в постановление №199 </w:t>
      </w:r>
    </w:p>
    <w:p w:rsidR="00840B70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16 октября 2020 года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F21415" w:rsidRDefault="00840B70" w:rsidP="00840B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9F5A00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9F5A00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9F5A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2022 и 2023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>2021 год и на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8764D" w:rsidRDefault="0098764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2571E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40B70" w:rsidRPr="00840B70">
        <w:rPr>
          <w:rFonts w:ascii="Times New Roman" w:eastAsia="Times New Roman" w:hAnsi="Times New Roman" w:cs="Times New Roman"/>
          <w:sz w:val="28"/>
        </w:rPr>
        <w:t xml:space="preserve"> </w:t>
      </w:r>
      <w:r w:rsidR="00840B70">
        <w:rPr>
          <w:rFonts w:ascii="Times New Roman" w:eastAsia="Times New Roman" w:hAnsi="Times New Roman" w:cs="Times New Roman"/>
          <w:sz w:val="28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>2021 год и на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</w:t>
      </w:r>
      <w:r w:rsidR="009F5A00">
        <w:rPr>
          <w:rFonts w:ascii="Times New Roman" w:eastAsia="Times New Roman" w:hAnsi="Times New Roman" w:cs="Times New Roman"/>
          <w:sz w:val="28"/>
        </w:rPr>
        <w:t>с 01.01.2021</w:t>
      </w:r>
      <w:r w:rsidR="002571EF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571EF" w:rsidRPr="002571EF" w:rsidRDefault="002571EF" w:rsidP="00257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F">
        <w:rPr>
          <w:rFonts w:ascii="Times New Roman" w:hAnsi="Times New Roman" w:cs="Times New Roman"/>
          <w:sz w:val="28"/>
          <w:szCs w:val="28"/>
        </w:rPr>
        <w:t>3.</w:t>
      </w:r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1415" w:rsidRDefault="002571E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74E0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79312F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C239D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F97D23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D15C3">
        <w:rPr>
          <w:rFonts w:ascii="Times New Roman" w:eastAsia="Times New Roman" w:hAnsi="Times New Roman" w:cs="Times New Roman"/>
          <w:sz w:val="28"/>
        </w:rPr>
        <w:t xml:space="preserve">т  </w:t>
      </w:r>
      <w:r w:rsidR="006D63B7">
        <w:rPr>
          <w:rFonts w:ascii="Times New Roman" w:eastAsia="Times New Roman" w:hAnsi="Times New Roman" w:cs="Times New Roman"/>
          <w:sz w:val="28"/>
        </w:rPr>
        <w:t>25 марта</w:t>
      </w:r>
      <w:r w:rsidR="004F68FE">
        <w:rPr>
          <w:rFonts w:ascii="Times New Roman" w:eastAsia="Times New Roman" w:hAnsi="Times New Roman" w:cs="Times New Roman"/>
          <w:sz w:val="28"/>
        </w:rPr>
        <w:t xml:space="preserve">  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4F68FE">
        <w:rPr>
          <w:rFonts w:ascii="Times New Roman" w:eastAsia="Times New Roman" w:hAnsi="Times New Roman" w:cs="Times New Roman"/>
          <w:sz w:val="28"/>
        </w:rPr>
        <w:t xml:space="preserve"> №</w:t>
      </w:r>
      <w:r w:rsidR="006D63B7">
        <w:rPr>
          <w:rFonts w:ascii="Times New Roman" w:eastAsia="Times New Roman" w:hAnsi="Times New Roman" w:cs="Times New Roman"/>
          <w:sz w:val="28"/>
        </w:rPr>
        <w:t>57</w:t>
      </w:r>
      <w:r w:rsidR="004F68FE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2022 и 2023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2021 год и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2021 год и 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Pr="00762458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Pr="00762458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 xml:space="preserve">1) </w:t>
      </w:r>
      <w:r w:rsidR="003752C4" w:rsidRPr="00762458">
        <w:rPr>
          <w:rFonts w:ascii="Times New Roman" w:eastAsia="Times New Roman" w:hAnsi="Times New Roman" w:cs="Times New Roman"/>
          <w:sz w:val="28"/>
        </w:rPr>
        <w:t>на 2021</w:t>
      </w:r>
      <w:r w:rsidRPr="00762458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68FE">
        <w:rPr>
          <w:rFonts w:ascii="Times New Roman" w:eastAsia="Times New Roman" w:hAnsi="Times New Roman" w:cs="Times New Roman"/>
          <w:sz w:val="28"/>
        </w:rPr>
        <w:t>3 183,992</w:t>
      </w:r>
      <w:r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>;</w:t>
      </w:r>
    </w:p>
    <w:p w:rsidR="00F21415" w:rsidRPr="00762458" w:rsidRDefault="003752C4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2) на плановый период 2022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–  </w:t>
      </w:r>
      <w:r w:rsidR="00F455E2">
        <w:rPr>
          <w:rFonts w:ascii="Times New Roman" w:eastAsia="Times New Roman" w:hAnsi="Times New Roman" w:cs="Times New Roman"/>
          <w:sz w:val="28"/>
        </w:rPr>
        <w:t>3 018,866</w:t>
      </w:r>
      <w:r w:rsidR="00910D97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 xml:space="preserve"> и 2023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- </w:t>
      </w:r>
      <w:r w:rsidR="00F455E2">
        <w:rPr>
          <w:rFonts w:ascii="Times New Roman" w:eastAsia="Times New Roman" w:hAnsi="Times New Roman" w:cs="Times New Roman"/>
          <w:sz w:val="28"/>
        </w:rPr>
        <w:t xml:space="preserve">    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</w:t>
      </w:r>
      <w:r w:rsidR="00F455E2">
        <w:rPr>
          <w:rFonts w:ascii="Times New Roman" w:eastAsia="Times New Roman" w:hAnsi="Times New Roman" w:cs="Times New Roman"/>
          <w:sz w:val="28"/>
        </w:rPr>
        <w:t>2 851,446</w:t>
      </w:r>
      <w:r w:rsidR="00910D97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 год и плановый период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DE2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  <w:r w:rsidR="0076245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 год и плановый период 2022 и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837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F68FE">
              <w:rPr>
                <w:rFonts w:ascii="Times New Roman" w:eastAsia="Times New Roman" w:hAnsi="Times New Roman" w:cs="Times New Roman"/>
                <w:sz w:val="28"/>
              </w:rPr>
              <w:t>2 405,032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8379E3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10998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455E2">
              <w:rPr>
                <w:rFonts w:ascii="Times New Roman" w:eastAsia="Times New Roman" w:hAnsi="Times New Roman" w:cs="Times New Roman"/>
                <w:sz w:val="28"/>
              </w:rPr>
              <w:t> 239,906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F455E2">
              <w:rPr>
                <w:rFonts w:ascii="Times New Roman" w:eastAsia="Times New Roman" w:hAnsi="Times New Roman" w:cs="Times New Roman"/>
                <w:sz w:val="28"/>
              </w:rPr>
              <w:t>2 072,486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172"/>
        <w:gridCol w:w="1276"/>
        <w:gridCol w:w="1275"/>
        <w:gridCol w:w="1276"/>
        <w:gridCol w:w="1276"/>
        <w:gridCol w:w="1634"/>
        <w:gridCol w:w="66"/>
      </w:tblGrid>
      <w:tr w:rsidR="00F21415" w:rsidTr="00762458">
        <w:trPr>
          <w:trHeight w:val="84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762458">
        <w:trPr>
          <w:trHeight w:val="245"/>
        </w:trPr>
        <w:tc>
          <w:tcPr>
            <w:tcW w:w="5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6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E8189B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E8189B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E8189B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F68F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144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10D97" w:rsidP="00E81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F68F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F455E2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99,177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2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F68F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143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F455E2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136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10D97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за услуги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F68F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217,945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E8189B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91,770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E8189B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910D97">
              <w:rPr>
                <w:rFonts w:ascii="Times New Roman" w:eastAsia="Times New Roman" w:hAnsi="Times New Roman" w:cs="Times New Roman"/>
                <w:sz w:val="28"/>
              </w:rPr>
              <w:t>,07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spacing w:after="0" w:line="240" w:lineRule="auto"/>
              <w:ind w:left="-1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8928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7461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Pr="007461A9" w:rsidRDefault="00762458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7461A9" w:rsidRPr="007461A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7461A9" w:rsidRPr="007461A9">
        <w:rPr>
          <w:rFonts w:ascii="Times New Roman" w:eastAsia="Times New Roman" w:hAnsi="Times New Roman" w:cs="Times New Roman"/>
          <w:sz w:val="28"/>
        </w:rPr>
        <w:t>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02"/>
        <w:gridCol w:w="2056"/>
        <w:gridCol w:w="1961"/>
        <w:gridCol w:w="2151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461A9" w:rsidTr="00D3710C">
        <w:trPr>
          <w:trHeight w:val="17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  <w:proofErr w:type="spellStart"/>
            <w:r w:rsidR="007461A9">
              <w:rPr>
                <w:rFonts w:ascii="Times New Roman" w:eastAsia="Times New Roman" w:hAnsi="Times New Roman" w:cs="Times New Roman"/>
                <w:sz w:val="28"/>
              </w:rPr>
              <w:t>Ковыльновское</w:t>
            </w:r>
            <w:proofErr w:type="spellEnd"/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3183,992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3018,866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2851,446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3183,992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3018,866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910D97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3710C">
              <w:rPr>
                <w:rFonts w:ascii="Times New Roman" w:eastAsia="Times New Roman" w:hAnsi="Times New Roman" w:cs="Times New Roman"/>
                <w:sz w:val="28"/>
              </w:rPr>
              <w:t>851,446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01.01.2022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42B94"/>
    <w:rsid w:val="000B04E2"/>
    <w:rsid w:val="00134813"/>
    <w:rsid w:val="001C582D"/>
    <w:rsid w:val="002168BA"/>
    <w:rsid w:val="002571EF"/>
    <w:rsid w:val="003008A6"/>
    <w:rsid w:val="00333A41"/>
    <w:rsid w:val="003752C4"/>
    <w:rsid w:val="003A1BA3"/>
    <w:rsid w:val="004434BE"/>
    <w:rsid w:val="004968F7"/>
    <w:rsid w:val="00496CA6"/>
    <w:rsid w:val="004D15C3"/>
    <w:rsid w:val="004F68FE"/>
    <w:rsid w:val="0052280E"/>
    <w:rsid w:val="00524F97"/>
    <w:rsid w:val="005425A6"/>
    <w:rsid w:val="005F5F52"/>
    <w:rsid w:val="006511D5"/>
    <w:rsid w:val="00682E05"/>
    <w:rsid w:val="006A5D51"/>
    <w:rsid w:val="006D63B7"/>
    <w:rsid w:val="0070377D"/>
    <w:rsid w:val="007461A9"/>
    <w:rsid w:val="00746558"/>
    <w:rsid w:val="00762458"/>
    <w:rsid w:val="007626D2"/>
    <w:rsid w:val="0079312F"/>
    <w:rsid w:val="007C1DBD"/>
    <w:rsid w:val="007D58E7"/>
    <w:rsid w:val="00804EBC"/>
    <w:rsid w:val="00807E50"/>
    <w:rsid w:val="00810998"/>
    <w:rsid w:val="008379E3"/>
    <w:rsid w:val="00840B70"/>
    <w:rsid w:val="00841A02"/>
    <w:rsid w:val="008528E0"/>
    <w:rsid w:val="008667F4"/>
    <w:rsid w:val="00892846"/>
    <w:rsid w:val="00910D97"/>
    <w:rsid w:val="00922C22"/>
    <w:rsid w:val="009565CE"/>
    <w:rsid w:val="0098764D"/>
    <w:rsid w:val="009B2846"/>
    <w:rsid w:val="009C7997"/>
    <w:rsid w:val="009F5A00"/>
    <w:rsid w:val="00A61893"/>
    <w:rsid w:val="00AC5F46"/>
    <w:rsid w:val="00B3798D"/>
    <w:rsid w:val="00B74E0F"/>
    <w:rsid w:val="00B862FE"/>
    <w:rsid w:val="00C00002"/>
    <w:rsid w:val="00C239D6"/>
    <w:rsid w:val="00CD74D6"/>
    <w:rsid w:val="00D3710C"/>
    <w:rsid w:val="00D546FE"/>
    <w:rsid w:val="00DE2BC6"/>
    <w:rsid w:val="00E01264"/>
    <w:rsid w:val="00E44193"/>
    <w:rsid w:val="00E6500B"/>
    <w:rsid w:val="00E8189B"/>
    <w:rsid w:val="00EB588A"/>
    <w:rsid w:val="00EC3B3F"/>
    <w:rsid w:val="00ED22BE"/>
    <w:rsid w:val="00F1379F"/>
    <w:rsid w:val="00F14A95"/>
    <w:rsid w:val="00F21415"/>
    <w:rsid w:val="00F45219"/>
    <w:rsid w:val="00F455E2"/>
    <w:rsid w:val="00F97D23"/>
    <w:rsid w:val="00FB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40B7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64</cp:revision>
  <cp:lastPrinted>2020-11-25T09:37:00Z</cp:lastPrinted>
  <dcterms:created xsi:type="dcterms:W3CDTF">2017-11-23T08:56:00Z</dcterms:created>
  <dcterms:modified xsi:type="dcterms:W3CDTF">2021-03-25T09:43:00Z</dcterms:modified>
</cp:coreProperties>
</file>