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D1" w:rsidRP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A625D1" w:rsidRP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15198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-393065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A625D1" w:rsidRPr="00A625D1" w:rsidRDefault="00A625D1" w:rsidP="00A625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A625D1" w:rsidRPr="00A625D1" w:rsidRDefault="00151984" w:rsidP="00A625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76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внеочередное) </w:t>
      </w:r>
      <w:r w:rsidR="00A625D1"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1 созыва</w:t>
      </w:r>
    </w:p>
    <w:p w:rsidR="00A625D1" w:rsidRPr="00A625D1" w:rsidRDefault="00A625D1" w:rsidP="00A625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625D1" w:rsidRPr="00A625D1" w:rsidRDefault="00A625D1" w:rsidP="00A625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РЕШЕНИЕ</w:t>
      </w:r>
    </w:p>
    <w:p w:rsidR="00A625D1" w:rsidRPr="00A625D1" w:rsidRDefault="00A625D1" w:rsidP="00A62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25D1" w:rsidRPr="00A625D1" w:rsidRDefault="00151984" w:rsidP="00A6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18.06.</w:t>
      </w:r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 </w:t>
      </w:r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A625D1"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</w:t>
      </w:r>
      <w:r w:rsid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</w:t>
      </w:r>
      <w:r w:rsidR="00A625D1"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</w:t>
      </w:r>
      <w:r w:rsidR="00A625D1"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Ковыльное</w:t>
      </w:r>
      <w:proofErr w:type="gramEnd"/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625D1"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596</w:t>
      </w:r>
    </w:p>
    <w:p w:rsidR="0040691E" w:rsidRPr="0040691E" w:rsidRDefault="0040691E" w:rsidP="0040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40691E" w:rsidRPr="00A625D1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101010"/>
          <w:sz w:val="28"/>
          <w:szCs w:val="28"/>
        </w:rPr>
      </w:pP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Ковыльновского</w:t>
      </w: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 сельского поселения Раздольненского района Республики Крым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6F359E" w:rsidRPr="0040691E" w:rsidRDefault="006F359E" w:rsidP="006F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статьей 14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09.10.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3612-1 "Основы законодательства Российской Федерации о культуре", </w:t>
      </w:r>
      <w:hyperlink r:id="rId9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Законом Республики Крым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 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>2014 г. № 68-ЗРК «Об объектах культурного</w:t>
      </w:r>
      <w:proofErr w:type="gramEnd"/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наследия в Республике Крым»,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984">
        <w:rPr>
          <w:rFonts w:ascii="Times New Roman" w:eastAsia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17.06.2019 № 13-1020в/2019,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</w:p>
    <w:p w:rsidR="0040691E" w:rsidRPr="0040691E" w:rsidRDefault="0040691E" w:rsidP="006F3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РЕШИЛ:</w:t>
      </w:r>
    </w:p>
    <w:p w:rsidR="0040691E" w:rsidRPr="0040691E" w:rsidRDefault="0040691E" w:rsidP="0015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 сельского поселения (прилагается).</w:t>
      </w:r>
    </w:p>
    <w:p w:rsidR="006F359E" w:rsidRDefault="006F359E" w:rsidP="006F3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Обнародовать настоящее решение на информационн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стенд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ах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Pr="00A625D1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10" w:history="1"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A625D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625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984" w:rsidRDefault="0040691E" w:rsidP="0015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3. Настоящее решение вступает в силу со дня официального опубликования.</w:t>
      </w:r>
    </w:p>
    <w:p w:rsidR="006F359E" w:rsidRPr="00151984" w:rsidRDefault="006F359E" w:rsidP="0015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4.</w:t>
      </w:r>
      <w:r w:rsidRPr="006F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6F359E" w:rsidRPr="00A625D1" w:rsidRDefault="006F359E" w:rsidP="006F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6F359E" w:rsidRPr="00A625D1" w:rsidRDefault="006F359E" w:rsidP="006F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6F359E" w:rsidRPr="00A625D1" w:rsidRDefault="006F359E" w:rsidP="006F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F359E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 </w:t>
      </w:r>
      <w:r w:rsidR="00151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proofErr w:type="gramStart"/>
      <w:r w:rsidR="00151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151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внеочередного)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Ковыльновского сельского               </w:t>
      </w: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1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6F359E" w:rsidRDefault="006F359E" w:rsidP="006F359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5E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18.06.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2019г.  №  </w:t>
      </w:r>
      <w:r w:rsidR="005E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596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6F359E" w:rsidRDefault="006F359E" w:rsidP="0040691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</w:p>
    <w:bookmarkEnd w:id="0"/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01010"/>
          <w:sz w:val="27"/>
          <w:szCs w:val="27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Положение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об установления льготной арендной платы и её размеров в отношении объектов культурного наследия, находящихся в собственности муниципального образования </w:t>
      </w:r>
      <w:r w:rsidR="006F359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 сельское поселение Раздольненского района Республики Крым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Республики Крым (далее - объекты культурного наследия), вложившим свои средства в работы по сохранению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и обеспечившим их выполнение в соответствии с законодательством Российской Федерации, законодательством Республики Крым и нормативными правовыми актами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2. Объекты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3. Соответствующий договор аренды заключается путем проведения открытого аукциона на право заключения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договора аренды объекта культурного наследия муниципального образования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 порядке, предусмотренном действующим законодательством.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Размер годовой арендной платы за объект аренды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устанавливается по результатам аукциона без учета НДС.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4. Право на установление льготной арендной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платы по договору аренды объекта культурного наследия муниципального образования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имеют физические или юридические лица (далее - арендаторы) при одновременном выполнении следующих условий: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заключившие договор аренды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находящегося в неудовлетворительном состоянии;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вложившие свои средства в работы по сохранению указанного объекта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предусмотренные статьями 40-45 Федерального закона от 25.06.2002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№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5. Порядок и сроки проведения работ по сохранению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определяются охранным обязательством пользователя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при этом срок таких работ не может превышать 7 лет.</w:t>
      </w:r>
    </w:p>
    <w:p w:rsidR="0040691E" w:rsidRPr="003814C9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6. Подтверждением завершения работ по сохранению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является акт приемки работ по сохранению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оформленный </w:t>
      </w:r>
      <w:r w:rsidRPr="003814C9">
        <w:rPr>
          <w:rFonts w:ascii="Times New Roman" w:eastAsia="Calibri" w:hAnsi="Times New Roman" w:cs="Times New Roman"/>
          <w:sz w:val="28"/>
          <w:szCs w:val="28"/>
        </w:rPr>
        <w:t xml:space="preserve">органом исполнительной власти субъекта Российской Федерации, </w:t>
      </w:r>
      <w:r w:rsidR="006F359E" w:rsidRPr="003814C9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Pr="003814C9">
        <w:rPr>
          <w:rFonts w:ascii="Times New Roman" w:eastAsia="Calibri" w:hAnsi="Times New Roman" w:cs="Times New Roman"/>
          <w:sz w:val="28"/>
          <w:szCs w:val="28"/>
        </w:rPr>
        <w:t>в области охраны объектов культурного наследия.</w:t>
      </w:r>
    </w:p>
    <w:p w:rsidR="0040691E" w:rsidRPr="003814C9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4C9">
        <w:rPr>
          <w:rFonts w:ascii="Times New Roman" w:eastAsia="Calibri" w:hAnsi="Times New Roman" w:cs="Times New Roman"/>
          <w:sz w:val="28"/>
          <w:szCs w:val="28"/>
        </w:rPr>
        <w:t>7. Охранное обязательство пользователя объектом культурного наследия оформляется: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Раздольненского района - в отношении объектов культурного наследия местного (муниципального) значения.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8. Решение об установлении льготной арендной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платы по договору аренды объекта культурного наследия муниципального образования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(далее - льготная арендная плата) принимается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Ковыльновского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поселения, являющейся арендодателем по договору аренды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9. Для установления льготной арендной платы арендатор направляет в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дминистрацию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заявление об установлении льготной арендной платы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10. К заявлению прилагаются: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1) копии документов, удостоверяющих личность арендатора - физического лиц, или выписка из единого государственного реестра юридических лиц - для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>юридических лиц;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2) охранное обязательство пользователя объекта культурного наследия муниципального образования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3) разрешение на проведение работ по сохранению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4) задание на проведение работ по сохранению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5) отчет о выполнении работ по сохранению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6) акт приемки работ по сохранению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11. Документы, предусмотренные в подпунктах 1 и 6 пункта 10 настоящего Положения, предоставляются арендатором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Документы, указанные в подпунктах 2, 3, 4, 5 пункта 9 настоящего Положения, запрашиваются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порядке межведомственного информационного взаимодействия.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12.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Администрация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30 дней со дня поступления заявления рассматривает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  <w:proofErr w:type="gramEnd"/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13. Основаниями для принятия решения об отказе в установлении льготной арендной платы являются: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отсутствие у арендатора права на установление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представление документов, не соответствующих требованиям законодательства Российской Федерации, Республики Крым;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наличие у арендатора задолженности по уплате в доход бюджета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платежей, предусмотренных договором аренды соответствующего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проведение работ по сохранению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вследствие несоблюдения арендатором охранных обязательств.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Отказ в установлении льготной арендной платы по иным основаниям, кроме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>указанных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14. </w:t>
      </w: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Со дня принятия решения об установлении льготной арендной платы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муниципального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15.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Ковыльновское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16.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17. Годовой размер льготной арендной платы определяется по следующей формуле:</w:t>
      </w:r>
    </w:p>
    <w:p w:rsidR="00F81B12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32"/>
          <w:szCs w:val="32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УАП = АП </w:t>
      </w:r>
      <w:proofErr w:type="spellStart"/>
      <w:r>
        <w:rPr>
          <w:rFonts w:ascii="Times New Roman" w:eastAsia="Calibri" w:hAnsi="Times New Roman" w:cs="Times New Roman"/>
          <w:color w:val="101010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Pr="00F81B12">
        <w:rPr>
          <w:rFonts w:ascii="Times New Roman" w:eastAsia="Calibri" w:hAnsi="Times New Roman" w:cs="Times New Roman"/>
          <w:color w:val="101010"/>
          <w:sz w:val="32"/>
          <w:szCs w:val="32"/>
        </w:rPr>
        <w:t>0,3</w:t>
      </w:r>
    </w:p>
    <w:p w:rsidR="00F81B12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t xml:space="preserve">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– годовой размер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0,3 - коэффициент расчета размера льготной арендной платы.</w:t>
      </w:r>
    </w:p>
    <w:p w:rsidR="00F81B12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18. Срок (в годах), на который устанавливается льготная арендная плата, определяется по следующей формуле:</w:t>
      </w:r>
    </w:p>
    <w:p w:rsidR="00F81B12" w:rsidRPr="0040691E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drawing>
          <wp:inline distT="0" distB="0" distL="0" distR="0">
            <wp:extent cx="1536700" cy="690880"/>
            <wp:effectExtent l="0" t="0" r="12700" b="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,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proofErr w:type="gramStart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- срок (в годах), на который устанавливается льготная арендная плата;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СРА - сумма расходов арендатора (рублей);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Default="0040691E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- годовой размер льготной арендной платы (руб./год).</w:t>
      </w:r>
    </w:p>
    <w:p w:rsidR="00F81B12" w:rsidRPr="0040691E" w:rsidRDefault="00F81B12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>________________________________________________________________</w:t>
      </w:r>
    </w:p>
    <w:p w:rsidR="0005670D" w:rsidRDefault="0005670D"/>
    <w:sectPr w:rsidR="0005670D" w:rsidSect="005E446A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513E70"/>
    <w:multiLevelType w:val="hybridMultilevel"/>
    <w:tmpl w:val="391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2C0A"/>
    <w:multiLevelType w:val="multilevel"/>
    <w:tmpl w:val="9AE6137A"/>
    <w:lvl w:ilvl="0">
      <w:start w:val="1"/>
      <w:numFmt w:val="decimal"/>
      <w:lvlText w:val="%1."/>
      <w:lvlJc w:val="left"/>
      <w:pPr>
        <w:ind w:left="1863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1E"/>
    <w:rsid w:val="00024B41"/>
    <w:rsid w:val="00034F0B"/>
    <w:rsid w:val="0005670D"/>
    <w:rsid w:val="00151984"/>
    <w:rsid w:val="00294D75"/>
    <w:rsid w:val="003814C9"/>
    <w:rsid w:val="0040691E"/>
    <w:rsid w:val="005E446A"/>
    <w:rsid w:val="006F359E"/>
    <w:rsid w:val="00A353DB"/>
    <w:rsid w:val="00A625D1"/>
    <w:rsid w:val="00C713A6"/>
    <w:rsid w:val="00CF0003"/>
    <w:rsid w:val="00F8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540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2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FC71-890F-41CA-A819-8B29F5C0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9</cp:revision>
  <cp:lastPrinted>2019-06-21T11:58:00Z</cp:lastPrinted>
  <dcterms:created xsi:type="dcterms:W3CDTF">2019-06-11T12:24:00Z</dcterms:created>
  <dcterms:modified xsi:type="dcterms:W3CDTF">2019-06-27T07:36:00Z</dcterms:modified>
</cp:coreProperties>
</file>